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B1DB2" w:rsidRPr="000B1DB2" w:rsidTr="00B14DAD">
        <w:trPr>
          <w:trHeight w:val="1275"/>
        </w:trPr>
        <w:tc>
          <w:tcPr>
            <w:tcW w:w="3957" w:type="dxa"/>
            <w:vAlign w:val="center"/>
          </w:tcPr>
          <w:p w:rsidR="000B1DB2" w:rsidRPr="000B1DB2" w:rsidRDefault="000B1DB2" w:rsidP="000B1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B1DB2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0B1DB2" w:rsidRPr="000B1DB2" w:rsidRDefault="000B1DB2" w:rsidP="000B1DB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B1DB2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0B1DB2" w:rsidRPr="000B1DB2" w:rsidRDefault="000B1DB2" w:rsidP="000B1D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B1DB2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0B1DB2" w:rsidRPr="000B1DB2" w:rsidRDefault="000B1DB2" w:rsidP="000B1D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B1DB2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0B1DB2" w:rsidRPr="000B1DB2" w:rsidRDefault="000B1DB2" w:rsidP="000B1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B1DB2" w:rsidRPr="000B1DB2" w:rsidRDefault="000B1DB2" w:rsidP="000B1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0B1DB2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D95E03B" wp14:editId="39C80848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B1DB2" w:rsidRPr="000B1DB2" w:rsidRDefault="000B1DB2" w:rsidP="000B1D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DB2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B1DB2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0B1DB2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0B1DB2" w:rsidRPr="000B1DB2" w:rsidRDefault="000B1DB2" w:rsidP="000B1DB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B1DB2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0B1DB2" w:rsidRPr="000B1DB2" w:rsidRDefault="000B1DB2" w:rsidP="000B1DB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B1DB2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0B1DB2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0B1DB2" w:rsidRPr="000B1DB2" w:rsidRDefault="000B1DB2" w:rsidP="000B1D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DB2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0B1DB2" w:rsidRPr="000B1DB2" w:rsidRDefault="000B1DB2" w:rsidP="000B1D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0B1DB2" w:rsidRPr="000B1DB2" w:rsidRDefault="000B1DB2" w:rsidP="000B1DB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0B1DB2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0B1DB2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B1DB2" w:rsidRPr="000B1DB2" w:rsidRDefault="000B1DB2" w:rsidP="000B1DB2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B1DB2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0B1DB2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0B1DB2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0B1DB2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0B1DB2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0B1DB2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0B1DB2" w:rsidRPr="000B1DB2" w:rsidRDefault="000B1DB2" w:rsidP="000B1DB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0B1DB2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0B1DB2" w:rsidRPr="000B1DB2" w:rsidRDefault="000B1DB2" w:rsidP="000B1DB2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0B1DB2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0B1DB2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0B1DB2" w:rsidRPr="000B1DB2" w:rsidRDefault="000B1DB2" w:rsidP="000B1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B1DB2">
        <w:rPr>
          <w:rFonts w:ascii="Times New Roman" w:hAnsi="Times New Roman"/>
          <w:b/>
          <w:sz w:val="28"/>
          <w:szCs w:val="28"/>
          <w:lang w:val="ro-RO"/>
        </w:rPr>
        <w:t>DECIZIA Nr. 6/</w:t>
      </w:r>
      <w:r w:rsidR="00917E13">
        <w:rPr>
          <w:rFonts w:ascii="Times New Roman" w:hAnsi="Times New Roman"/>
          <w:b/>
          <w:sz w:val="28"/>
          <w:szCs w:val="28"/>
          <w:lang w:val="ro-RO"/>
        </w:rPr>
        <w:t>9</w:t>
      </w:r>
    </w:p>
    <w:p w:rsidR="000B1DB2" w:rsidRPr="000B1DB2" w:rsidRDefault="000B1DB2" w:rsidP="000B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B1DB2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917E13">
        <w:rPr>
          <w:rFonts w:ascii="Times New Roman" w:hAnsi="Times New Roman"/>
          <w:b/>
          <w:sz w:val="28"/>
          <w:szCs w:val="28"/>
          <w:lang w:val="ro-RO"/>
        </w:rPr>
        <w:t>02 noiembrie</w:t>
      </w:r>
      <w:r w:rsidRPr="000B1DB2">
        <w:rPr>
          <w:rFonts w:ascii="Times New Roman" w:hAnsi="Times New Roman"/>
          <w:b/>
          <w:sz w:val="28"/>
          <w:szCs w:val="28"/>
          <w:lang w:val="ro-RO"/>
        </w:rPr>
        <w:t xml:space="preserve">  2022</w:t>
      </w:r>
    </w:p>
    <w:p w:rsidR="000B1DB2" w:rsidRDefault="000B1DB2" w:rsidP="000B1D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1D22A8" w:rsidRDefault="000B1DB2" w:rsidP="000B1D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Cu privire la rectificarea Anexei nr. 2, </w:t>
      </w:r>
    </w:p>
    <w:p w:rsidR="001D22A8" w:rsidRDefault="000B1DB2" w:rsidP="000B1D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aprobată prin Decizia CL nr. 08/08 din 14.12.2011 </w:t>
      </w:r>
    </w:p>
    <w:p w:rsidR="001D22A8" w:rsidRDefault="000B1DB2" w:rsidP="000B1D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(Lista terenurilor transmise în proprietate privată </w:t>
      </w:r>
    </w:p>
    <w:p w:rsidR="000B1DB2" w:rsidRDefault="000B1DB2" w:rsidP="000B1D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(s.Hîrtopul Mare, com. Hîrtopul Mare)</w:t>
      </w:r>
    </w:p>
    <w:p w:rsidR="000B1DB2" w:rsidRDefault="00532DEF" w:rsidP="000B1D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532DEF">
        <w:rPr>
          <w:rFonts w:ascii="Times New Roman" w:hAnsi="Times New Roman"/>
          <w:i/>
          <w:sz w:val="28"/>
          <w:szCs w:val="28"/>
          <w:lang w:val="ro-RO"/>
        </w:rPr>
        <w:t>Raportor:</w:t>
      </w:r>
      <w:r>
        <w:rPr>
          <w:rFonts w:ascii="Times New Roman" w:hAnsi="Times New Roman"/>
          <w:i/>
          <w:sz w:val="28"/>
          <w:szCs w:val="28"/>
          <w:lang w:val="ro-RO"/>
        </w:rPr>
        <w:t>Eugenia Roșca, specialist principal</w:t>
      </w:r>
    </w:p>
    <w:p w:rsidR="000B1DB2" w:rsidRDefault="000B1DB2" w:rsidP="000B1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La întocmirea listelor terenurilor transmise în proprietete privată, Anexa nr. 2 la Decizia nr. 08/08 din 14.12.2011, greșit a fost nominalizat proprietarul Stavila Ion Petru, a.n.09.02.1981, c/p 2010210312595, </w:t>
      </w:r>
      <w:r w:rsidR="00AE3870">
        <w:rPr>
          <w:rFonts w:ascii="Times New Roman" w:hAnsi="Times New Roman"/>
          <w:sz w:val="28"/>
          <w:szCs w:val="28"/>
          <w:lang w:val="ro-RO"/>
        </w:rPr>
        <w:t xml:space="preserve">cu </w:t>
      </w:r>
      <w:r>
        <w:rPr>
          <w:rFonts w:ascii="Times New Roman" w:hAnsi="Times New Roman"/>
          <w:sz w:val="28"/>
          <w:szCs w:val="28"/>
          <w:lang w:val="ro-RO"/>
        </w:rPr>
        <w:t>domiciliul</w:t>
      </w:r>
      <w:r w:rsidR="00AE3870">
        <w:rPr>
          <w:rFonts w:ascii="Times New Roman" w:hAnsi="Times New Roman"/>
          <w:sz w:val="28"/>
          <w:szCs w:val="28"/>
          <w:lang w:val="ro-RO"/>
        </w:rPr>
        <w:t xml:space="preserve"> în </w:t>
      </w:r>
      <w:r>
        <w:rPr>
          <w:rFonts w:ascii="Times New Roman" w:hAnsi="Times New Roman"/>
          <w:sz w:val="28"/>
          <w:szCs w:val="28"/>
          <w:lang w:val="ro-RO"/>
        </w:rPr>
        <w:t>Republica Moldova, r-nul Criuleni, satul Hîrtopul Mare, asupra terenului cu modul de folosință grădină, nr. cadastral 3134205451  și suprafața 0,3472 ha, înregistrat la SCT Criuleni la data de 14.03.2013</w:t>
      </w:r>
      <w:r w:rsidR="00917E13">
        <w:rPr>
          <w:rFonts w:ascii="Times New Roman" w:hAnsi="Times New Roman"/>
          <w:sz w:val="28"/>
          <w:szCs w:val="28"/>
          <w:lang w:val="ro-RO"/>
        </w:rPr>
        <w:t>.</w:t>
      </w:r>
    </w:p>
    <w:p w:rsidR="000B1DB2" w:rsidRDefault="000B1DB2" w:rsidP="000B1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De fapt, terenul nominalizat aparține cet.</w:t>
      </w:r>
      <w:r w:rsidRPr="000B1DB2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Stavila Ion Petru, a.n.08.04.1944, c/p </w:t>
      </w:r>
      <w:r w:rsidR="00167D04">
        <w:rPr>
          <w:rFonts w:ascii="Times New Roman" w:hAnsi="Times New Roman"/>
          <w:sz w:val="28"/>
          <w:szCs w:val="28"/>
          <w:lang w:val="ro-RO"/>
        </w:rPr>
        <w:t>0980103210512</w:t>
      </w:r>
      <w:r>
        <w:rPr>
          <w:rFonts w:ascii="Times New Roman" w:hAnsi="Times New Roman"/>
          <w:sz w:val="28"/>
          <w:szCs w:val="28"/>
          <w:lang w:val="ro-RO"/>
        </w:rPr>
        <w:t>, domiciliat în satul Hîrtopul M</w:t>
      </w:r>
      <w:r w:rsidR="00167D04">
        <w:rPr>
          <w:rFonts w:ascii="Times New Roman" w:hAnsi="Times New Roman"/>
          <w:sz w:val="28"/>
          <w:szCs w:val="28"/>
          <w:lang w:val="ro-RO"/>
        </w:rPr>
        <w:t>ic</w:t>
      </w:r>
      <w:r w:rsidR="007D34B8">
        <w:rPr>
          <w:rFonts w:ascii="Times New Roman" w:hAnsi="Times New Roman"/>
          <w:sz w:val="28"/>
          <w:szCs w:val="28"/>
          <w:lang w:val="ro-RO"/>
        </w:rPr>
        <w:t>, r-nul Criuleni, care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67D04">
        <w:rPr>
          <w:rFonts w:ascii="Times New Roman" w:hAnsi="Times New Roman"/>
          <w:sz w:val="28"/>
          <w:szCs w:val="28"/>
          <w:lang w:val="ro-RO"/>
        </w:rPr>
        <w:t>i-a fost atribuit în baza deciziei nr. 75 din 20.11.1992, pentru care i-a fost eliberat certificat provizoriu cu nr. 807 din 18.02.1993.</w:t>
      </w:r>
    </w:p>
    <w:p w:rsidR="00AE3870" w:rsidRPr="00777804" w:rsidRDefault="000B1DB2" w:rsidP="00AE38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ab/>
        <w:t>În scopul corectării erorii comise</w:t>
      </w:r>
      <w:r w:rsidR="00AE3870" w:rsidRPr="00AE387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E3870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E3870"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E3870"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="00AE3870" w:rsidRPr="00777804">
        <w:rPr>
          <w:rFonts w:ascii="Times New Roman" w:hAnsi="Times New Roman"/>
          <w:sz w:val="28"/>
          <w:szCs w:val="28"/>
          <w:lang w:val="en-US"/>
        </w:rPr>
        <w:t>55</w:t>
      </w:r>
      <w:r w:rsidR="00AE3870"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="00AE3870"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AE3870"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="00AE3870"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AE3870"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E3870"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E3870"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E3870"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E3870"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AE3870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AE3870"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="00AE3870"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AE3870">
        <w:rPr>
          <w:rFonts w:ascii="Times New Roman" w:hAnsi="Times New Roman"/>
          <w:sz w:val="28"/>
          <w:szCs w:val="28"/>
          <w:lang w:val="ro-RO"/>
        </w:rPr>
        <w:t>Stavila Ion Petru</w:t>
      </w:r>
      <w:r w:rsidR="00AE3870" w:rsidRPr="00777804">
        <w:rPr>
          <w:rFonts w:ascii="Times New Roman" w:hAnsi="Times New Roman"/>
          <w:sz w:val="28"/>
          <w:szCs w:val="28"/>
          <w:lang w:val="ro-RO"/>
        </w:rPr>
        <w:t>, Consiliul comunal Hîrtopul Mare,</w:t>
      </w:r>
    </w:p>
    <w:p w:rsidR="000B1DB2" w:rsidRDefault="000B1DB2" w:rsidP="000B1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 DECIS:</w:t>
      </w:r>
    </w:p>
    <w:p w:rsidR="000B1DB2" w:rsidRDefault="000B1DB2" w:rsidP="000B1D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1) Se rectifică Anexa nr. 2 </w:t>
      </w:r>
      <w:r w:rsidR="00AE3870">
        <w:rPr>
          <w:rFonts w:ascii="Times New Roman" w:hAnsi="Times New Roman"/>
          <w:sz w:val="28"/>
          <w:szCs w:val="28"/>
          <w:lang w:val="ro-RO"/>
        </w:rPr>
        <w:t>„</w:t>
      </w:r>
      <w:r>
        <w:rPr>
          <w:rFonts w:ascii="Times New Roman" w:hAnsi="Times New Roman"/>
          <w:sz w:val="28"/>
          <w:szCs w:val="28"/>
          <w:lang w:val="ro-RO"/>
        </w:rPr>
        <w:t>Lista terenurilor transmise în proprietate privată” aprobată prin Decizia Consiliului Local Hîrtopul Mare nr. 08/08 din 14.12.2011 cu următoarele modificări:</w:t>
      </w:r>
    </w:p>
    <w:p w:rsidR="000B1DB2" w:rsidRDefault="000B1DB2" w:rsidP="000B1D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 numărul de ordine – </w:t>
      </w:r>
      <w:r w:rsidR="00AE3870">
        <w:rPr>
          <w:rFonts w:ascii="Times New Roman" w:hAnsi="Times New Roman"/>
          <w:sz w:val="28"/>
          <w:szCs w:val="28"/>
          <w:lang w:val="ro-RO"/>
        </w:rPr>
        <w:t>285</w:t>
      </w:r>
      <w:r>
        <w:rPr>
          <w:rFonts w:ascii="Times New Roman" w:hAnsi="Times New Roman"/>
          <w:sz w:val="28"/>
          <w:szCs w:val="28"/>
          <w:lang w:val="ro-RO"/>
        </w:rPr>
        <w:t>, număr cadastral 313420</w:t>
      </w:r>
      <w:r w:rsidR="00AE3870">
        <w:rPr>
          <w:rFonts w:ascii="Times New Roman" w:hAnsi="Times New Roman"/>
          <w:sz w:val="28"/>
          <w:szCs w:val="28"/>
          <w:lang w:val="ro-RO"/>
        </w:rPr>
        <w:t>5451</w:t>
      </w:r>
      <w:r>
        <w:rPr>
          <w:rFonts w:ascii="Times New Roman" w:hAnsi="Times New Roman"/>
          <w:sz w:val="28"/>
          <w:szCs w:val="28"/>
          <w:lang w:val="ro-RO"/>
        </w:rPr>
        <w:t xml:space="preserve"> se înscrie proprietarul </w:t>
      </w:r>
      <w:r w:rsidR="00AE3870">
        <w:rPr>
          <w:rFonts w:ascii="Times New Roman" w:hAnsi="Times New Roman"/>
          <w:sz w:val="28"/>
          <w:szCs w:val="28"/>
          <w:lang w:val="ro-RO"/>
        </w:rPr>
        <w:t>Stavila Ion Petru, a.n.08.04.1944</w:t>
      </w:r>
      <w:r>
        <w:rPr>
          <w:rFonts w:ascii="Times New Roman" w:hAnsi="Times New Roman"/>
          <w:sz w:val="28"/>
          <w:szCs w:val="28"/>
          <w:lang w:val="ro-RO"/>
        </w:rPr>
        <w:t xml:space="preserve">, c/p </w:t>
      </w:r>
      <w:r w:rsidR="002A0007">
        <w:rPr>
          <w:rFonts w:ascii="Times New Roman" w:hAnsi="Times New Roman"/>
          <w:sz w:val="28"/>
          <w:szCs w:val="28"/>
          <w:lang w:val="ro-RO"/>
        </w:rPr>
        <w:t>0980103210512</w:t>
      </w:r>
      <w:bookmarkStart w:id="0" w:name="_GoBack"/>
      <w:bookmarkEnd w:id="0"/>
      <w:r w:rsidR="00AE3870">
        <w:rPr>
          <w:rFonts w:ascii="Times New Roman" w:hAnsi="Times New Roman"/>
          <w:sz w:val="28"/>
          <w:szCs w:val="28"/>
          <w:lang w:val="ro-RO"/>
        </w:rPr>
        <w:t>, domiciliat în satul Hîrtopul Mic, r-nul Criuleni.</w:t>
      </w:r>
    </w:p>
    <w:p w:rsidR="000B1DB2" w:rsidRDefault="00305A3D" w:rsidP="000B1D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0B1DB2">
        <w:rPr>
          <w:rFonts w:ascii="Times New Roman" w:hAnsi="Times New Roman"/>
          <w:sz w:val="28"/>
          <w:szCs w:val="28"/>
          <w:lang w:val="ro-RO"/>
        </w:rPr>
        <w:t xml:space="preserve">) </w:t>
      </w:r>
      <w:r w:rsidRPr="00AA0BDA">
        <w:rPr>
          <w:rFonts w:ascii="Times New Roman" w:hAnsi="Times New Roman"/>
          <w:sz w:val="28"/>
          <w:szCs w:val="28"/>
          <w:lang w:val="ro-RO"/>
        </w:rPr>
        <w:t xml:space="preserve">Prezenta decizie </w:t>
      </w:r>
      <w:r>
        <w:rPr>
          <w:rFonts w:ascii="Times New Roman" w:hAnsi="Times New Roman"/>
          <w:sz w:val="28"/>
          <w:szCs w:val="28"/>
          <w:lang w:val="ro-RO"/>
        </w:rPr>
        <w:t xml:space="preserve">va </w:t>
      </w:r>
      <w:r w:rsidRPr="00AA0BDA">
        <w:rPr>
          <w:rFonts w:ascii="Times New Roman" w:hAnsi="Times New Roman"/>
          <w:sz w:val="28"/>
          <w:szCs w:val="28"/>
          <w:lang w:val="ro-RO"/>
        </w:rPr>
        <w:t>intr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AA0BDA">
        <w:rPr>
          <w:rFonts w:ascii="Times New Roman" w:hAnsi="Times New Roman"/>
          <w:sz w:val="28"/>
          <w:szCs w:val="28"/>
          <w:lang w:val="ro-RO"/>
        </w:rPr>
        <w:t xml:space="preserve"> în vigoare la data publicării în Registrul de Stat al 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AA0BDA">
        <w:rPr>
          <w:rFonts w:ascii="Times New Roman" w:hAnsi="Times New Roman"/>
          <w:sz w:val="28"/>
          <w:szCs w:val="28"/>
          <w:lang w:val="ro-RO"/>
        </w:rPr>
        <w:t>ctelor Locale</w:t>
      </w:r>
      <w:r>
        <w:rPr>
          <w:rFonts w:ascii="Times New Roman" w:hAnsi="Times New Roman"/>
          <w:sz w:val="28"/>
          <w:szCs w:val="28"/>
          <w:lang w:val="ro-RO"/>
        </w:rPr>
        <w:t xml:space="preserve"> și se </w:t>
      </w:r>
      <w:r w:rsidR="000B1DB2">
        <w:rPr>
          <w:rFonts w:ascii="Times New Roman" w:hAnsi="Times New Roman"/>
          <w:sz w:val="28"/>
          <w:szCs w:val="28"/>
          <w:lang w:val="ro-RO"/>
        </w:rPr>
        <w:t xml:space="preserve">va prezenta la </w:t>
      </w:r>
      <w:r>
        <w:rPr>
          <w:rFonts w:ascii="Times New Roman" w:hAnsi="Times New Roman"/>
          <w:sz w:val="28"/>
          <w:szCs w:val="28"/>
          <w:lang w:val="ro-RO"/>
        </w:rPr>
        <w:t>Serviciul</w:t>
      </w:r>
      <w:r w:rsidR="000B1DB2">
        <w:rPr>
          <w:rFonts w:ascii="Times New Roman" w:hAnsi="Times New Roman"/>
          <w:sz w:val="28"/>
          <w:szCs w:val="28"/>
          <w:lang w:val="ro-RO"/>
        </w:rPr>
        <w:t xml:space="preserve"> Cadastral Teritorial Criuleni </w:t>
      </w:r>
      <w:r w:rsidR="00917E13">
        <w:rPr>
          <w:rFonts w:ascii="Times New Roman" w:hAnsi="Times New Roman"/>
          <w:sz w:val="28"/>
          <w:szCs w:val="28"/>
          <w:lang w:val="ro-RO"/>
        </w:rPr>
        <w:t xml:space="preserve">împreună cu </w:t>
      </w:r>
      <w:r w:rsidR="000B1DB2">
        <w:rPr>
          <w:rFonts w:ascii="Times New Roman" w:hAnsi="Times New Roman"/>
          <w:sz w:val="28"/>
          <w:szCs w:val="28"/>
          <w:lang w:val="ro-RO"/>
        </w:rPr>
        <w:t>toate documentele confirmative pentru efectuarea modificărilor corespunzătoare în Registrul Bunurilor Imobile.</w:t>
      </w:r>
    </w:p>
    <w:p w:rsidR="00917E13" w:rsidRDefault="00917E13" w:rsidP="000B1D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B1DB2" w:rsidRPr="000B1DB2" w:rsidRDefault="000B1DB2" w:rsidP="000B1DB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B1DB2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870581" w:rsidRPr="000B1DB2" w:rsidRDefault="000B1DB2" w:rsidP="007D34B8">
      <w:pPr>
        <w:tabs>
          <w:tab w:val="center" w:pos="4677"/>
        </w:tabs>
        <w:spacing w:after="0" w:line="240" w:lineRule="auto"/>
        <w:rPr>
          <w:lang w:val="ro-RO"/>
        </w:rPr>
      </w:pPr>
      <w:r w:rsidRPr="000B1DB2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870581" w:rsidRPr="000B1DB2" w:rsidSect="007D34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7E89"/>
    <w:multiLevelType w:val="hybridMultilevel"/>
    <w:tmpl w:val="B344CA0E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DF"/>
    <w:rsid w:val="000B1DB2"/>
    <w:rsid w:val="00167D04"/>
    <w:rsid w:val="001D22A8"/>
    <w:rsid w:val="002A0007"/>
    <w:rsid w:val="00305A3D"/>
    <w:rsid w:val="004357DF"/>
    <w:rsid w:val="004A39B9"/>
    <w:rsid w:val="00503E86"/>
    <w:rsid w:val="00532DEF"/>
    <w:rsid w:val="005535E5"/>
    <w:rsid w:val="00597401"/>
    <w:rsid w:val="007D34B8"/>
    <w:rsid w:val="00870581"/>
    <w:rsid w:val="00917E13"/>
    <w:rsid w:val="00AE3870"/>
    <w:rsid w:val="00B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D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D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15</cp:revision>
  <cp:lastPrinted>2022-10-26T05:48:00Z</cp:lastPrinted>
  <dcterms:created xsi:type="dcterms:W3CDTF">2022-10-13T06:15:00Z</dcterms:created>
  <dcterms:modified xsi:type="dcterms:W3CDTF">2022-10-28T06:46:00Z</dcterms:modified>
</cp:coreProperties>
</file>