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9D122F">
        <w:rPr>
          <w:rFonts w:ascii="Times New Roman" w:eastAsia="Calibri" w:hAnsi="Times New Roman" w:cs="Times New Roman"/>
          <w:b/>
          <w:sz w:val="28"/>
          <w:szCs w:val="28"/>
          <w:lang w:val="ro-RO"/>
        </w:rPr>
        <w:t>12</w:t>
      </w:r>
      <w:r w:rsidR="00525DB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mai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332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332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E93B35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332</w:t>
      </w:r>
      <w:r w:rsidR="00E93B35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11</w:t>
      </w:r>
      <w:r w:rsidR="00E93B35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E93B35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7830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1/12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BB6063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8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BB606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examinarea cererii cet. </w:t>
      </w:r>
      <w:r w:rsidR="00E93B35">
        <w:rPr>
          <w:rFonts w:ascii="Times New Roman" w:eastAsia="Calibri" w:hAnsi="Times New Roman" w:cs="Times New Roman"/>
          <w:i/>
          <w:sz w:val="28"/>
          <w:szCs w:val="28"/>
          <w:lang w:val="ro-RO"/>
        </w:rPr>
        <w:t>Ostrovețcaia Lidia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8306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8D54EF" w:rsidRDefault="008D54EF" w:rsidP="00FD4468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 w:rsidR="00FD446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97DF2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Prezenta decizie intră în vigoare la data publicării în Registrul de Stat al actelor Locale și 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Default="004A7137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Pr="00100B2C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100B2C" w:rsidRPr="00100B2C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nr.2/1 ,, Cu privire la examinarea notificării Oficiului teritorial Chișinău al Cancelariei de Stat                                   nr. 1304/OT4-332 din 11.03.2022”</w:t>
      </w:r>
    </w:p>
    <w:p w:rsidR="00100B2C" w:rsidRPr="00100B2C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Natalia Rotaru, secretarul consiliului local 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Legii 436/2006 privind administrația publică locală.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Proiectul de decizie prevede </w:t>
      </w: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>examinarea notificării Oficiului teritorial Chișinău al Cancelariei de Stat nr. 1304/OT4-332 din 11.03.2022 și abrogarea deciziei nr. 1/12 din 28.02.2022 „Cu privire la examinarea cererii cet. Ostrovețcaia Lidia”.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00B2C" w:rsidRPr="00100B2C" w:rsidRDefault="00100B2C" w:rsidP="00100B2C">
      <w:pPr>
        <w:spacing w:after="160" w:line="252" w:lineRule="auto"/>
        <w:ind w:right="27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100B2C" w:rsidRPr="00100B2C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100B2C" w:rsidRPr="00100B2C" w:rsidRDefault="00100B2C" w:rsidP="00100B2C">
      <w:pPr>
        <w:spacing w:after="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00B2C" w:rsidRPr="00100B2C" w:rsidRDefault="00100B2C" w:rsidP="00100B2C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0B2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100B2C" w:rsidRPr="00100B2C" w:rsidRDefault="00100B2C" w:rsidP="00100B2C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2103E7" w:rsidRDefault="00100B2C" w:rsidP="002900D0">
      <w:pPr>
        <w:spacing w:after="160" w:line="252" w:lineRule="auto"/>
        <w:rPr>
          <w:lang w:val="en-US"/>
        </w:rPr>
      </w:pPr>
      <w:r w:rsidRPr="00100B2C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Secretarul consiliului local</w:t>
      </w: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100B2C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  <w:bookmarkStart w:id="0" w:name="_GoBack"/>
      <w:bookmarkEnd w:id="0"/>
    </w:p>
    <w:sectPr w:rsidR="002103E7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0B2C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2181"/>
    <w:rsid w:val="00252907"/>
    <w:rsid w:val="00263804"/>
    <w:rsid w:val="002900D0"/>
    <w:rsid w:val="002E6690"/>
    <w:rsid w:val="0034373A"/>
    <w:rsid w:val="00366560"/>
    <w:rsid w:val="00390149"/>
    <w:rsid w:val="004269C9"/>
    <w:rsid w:val="004A7137"/>
    <w:rsid w:val="00525DB1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B5D0B"/>
    <w:rsid w:val="008D54EF"/>
    <w:rsid w:val="009D122F"/>
    <w:rsid w:val="009F1F0E"/>
    <w:rsid w:val="00A16E57"/>
    <w:rsid w:val="00A56C6D"/>
    <w:rsid w:val="00A60285"/>
    <w:rsid w:val="00A63992"/>
    <w:rsid w:val="00AA1F81"/>
    <w:rsid w:val="00AA55BA"/>
    <w:rsid w:val="00AD6CFF"/>
    <w:rsid w:val="00BB3C35"/>
    <w:rsid w:val="00BB6063"/>
    <w:rsid w:val="00C22C4B"/>
    <w:rsid w:val="00C45EC0"/>
    <w:rsid w:val="00C64174"/>
    <w:rsid w:val="00C97DF2"/>
    <w:rsid w:val="00CB3923"/>
    <w:rsid w:val="00CB6714"/>
    <w:rsid w:val="00D90F39"/>
    <w:rsid w:val="00DA1590"/>
    <w:rsid w:val="00DD6DB8"/>
    <w:rsid w:val="00E17F42"/>
    <w:rsid w:val="00E521DD"/>
    <w:rsid w:val="00E93B35"/>
    <w:rsid w:val="00EA5BB5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58</cp:revision>
  <cp:lastPrinted>2021-07-19T07:58:00Z</cp:lastPrinted>
  <dcterms:created xsi:type="dcterms:W3CDTF">2020-07-22T10:51:00Z</dcterms:created>
  <dcterms:modified xsi:type="dcterms:W3CDTF">2022-05-06T08:16:00Z</dcterms:modified>
</cp:coreProperties>
</file>