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C4033" w:rsidRPr="00140BE0" w:rsidTr="00A731EC">
        <w:trPr>
          <w:trHeight w:val="1275"/>
        </w:trPr>
        <w:tc>
          <w:tcPr>
            <w:tcW w:w="3957" w:type="dxa"/>
            <w:vAlign w:val="center"/>
          </w:tcPr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0C4033" w:rsidRPr="00140BE0" w:rsidRDefault="000C4033" w:rsidP="00A731E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140BE0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F43BA1" wp14:editId="45A058B1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0C4033" w:rsidRPr="00140BE0" w:rsidRDefault="000C4033" w:rsidP="00A731E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0C4033" w:rsidRPr="00140BE0" w:rsidRDefault="000C4033" w:rsidP="00A731EC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0C4033" w:rsidRPr="00140BE0" w:rsidRDefault="000C4033" w:rsidP="00A731E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140BE0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0C4033" w:rsidRPr="00140BE0" w:rsidRDefault="000C4033" w:rsidP="00A731EC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0C4033" w:rsidRPr="00A91980" w:rsidRDefault="000C4033" w:rsidP="000C4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</w:t>
      </w:r>
      <w:r w:rsidRPr="00140BE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>MD-4824 с. Хыртопул Маре, района Криулень, РМ</w:t>
      </w:r>
    </w:p>
    <w:p w:rsidR="000C4033" w:rsidRPr="00A91980" w:rsidRDefault="000C4033" w:rsidP="000C403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A9198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A9198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C4033" w:rsidRPr="00140BE0" w:rsidRDefault="000C4033" w:rsidP="000C40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F5215" w:rsidRPr="0015539F" w:rsidRDefault="00EF5215" w:rsidP="00EF521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</w:pPr>
      <w:r w:rsidRPr="0015539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  <w:t>Proiect</w:t>
      </w:r>
    </w:p>
    <w:p w:rsidR="00EF5215" w:rsidRPr="0015539F" w:rsidRDefault="00EF5215" w:rsidP="00EF5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553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DECIZIA Nr. </w:t>
      </w:r>
      <w:r w:rsidR="00FA1EF3">
        <w:rPr>
          <w:rFonts w:ascii="Times New Roman" w:eastAsia="Calibri" w:hAnsi="Times New Roman" w:cs="Times New Roman"/>
          <w:b/>
          <w:sz w:val="24"/>
          <w:szCs w:val="24"/>
          <w:lang w:val="ro-RO"/>
        </w:rPr>
        <w:t>6/</w:t>
      </w:r>
      <w:r w:rsidR="00BE7933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</w:p>
    <w:p w:rsidR="00EF5215" w:rsidRPr="0015539F" w:rsidRDefault="00EF5215" w:rsidP="00EF5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553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 </w:t>
      </w:r>
      <w:r w:rsidR="00BE793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14 </w:t>
      </w:r>
      <w:r w:rsidR="00AF5EC3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decembrie</w:t>
      </w:r>
      <w:r w:rsidRPr="001553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20</w:t>
      </w:r>
      <w:r w:rsidR="00265AD1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  <w:r w:rsidR="00FA1EF3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</w:p>
    <w:p w:rsidR="00D14D75" w:rsidRPr="00DE62A4" w:rsidRDefault="00EF5215" w:rsidP="00EF521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  <w:r w:rsidRPr="00DE62A4">
        <w:rPr>
          <w:rFonts w:ascii="Times New Roman" w:eastAsia="Calibri" w:hAnsi="Times New Roman" w:cs="Times New Roman"/>
          <w:b/>
          <w:lang w:val="ro-RO"/>
        </w:rPr>
        <w:t xml:space="preserve">Cu privire la aprobarea bugetului comunei Hîrtopul Mare </w:t>
      </w:r>
    </w:p>
    <w:p w:rsidR="00EF5215" w:rsidRDefault="00EF5215" w:rsidP="00EF521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ro-RO"/>
        </w:rPr>
      </w:pPr>
      <w:r w:rsidRPr="00DE62A4">
        <w:rPr>
          <w:rFonts w:ascii="Times New Roman" w:eastAsia="Calibri" w:hAnsi="Times New Roman" w:cs="Times New Roman"/>
          <w:b/>
          <w:lang w:val="ro-RO"/>
        </w:rPr>
        <w:t>pentru anul 20</w:t>
      </w:r>
      <w:r w:rsidR="009C021F">
        <w:rPr>
          <w:rFonts w:ascii="Times New Roman" w:eastAsia="Calibri" w:hAnsi="Times New Roman" w:cs="Times New Roman"/>
          <w:b/>
          <w:lang w:val="ro-RO"/>
        </w:rPr>
        <w:t>2</w:t>
      </w:r>
      <w:r w:rsidR="00FA1EF3">
        <w:rPr>
          <w:rFonts w:ascii="Times New Roman" w:eastAsia="Calibri" w:hAnsi="Times New Roman" w:cs="Times New Roman"/>
          <w:b/>
          <w:lang w:val="ro-RO"/>
        </w:rPr>
        <w:t>2</w:t>
      </w:r>
      <w:r w:rsidRPr="00DE62A4">
        <w:rPr>
          <w:rFonts w:ascii="Times New Roman" w:eastAsia="Calibri" w:hAnsi="Times New Roman" w:cs="Times New Roman"/>
          <w:b/>
          <w:lang w:val="ro-RO"/>
        </w:rPr>
        <w:t xml:space="preserve"> în lectura a doua </w:t>
      </w:r>
    </w:p>
    <w:p w:rsidR="009C021F" w:rsidRDefault="009C021F" w:rsidP="009C02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9C021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Raportor: </w:t>
      </w:r>
      <w:r w:rsidR="00265AD1">
        <w:rPr>
          <w:rFonts w:ascii="Times New Roman" w:eastAsia="Calibri" w:hAnsi="Times New Roman" w:cs="Times New Roman"/>
          <w:i/>
          <w:sz w:val="24"/>
          <w:szCs w:val="24"/>
          <w:lang w:val="ro-RO"/>
        </w:rPr>
        <w:t>Birda Svetlana</w:t>
      </w:r>
      <w:r w:rsidRPr="009C021F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, contabil-șef </w:t>
      </w:r>
    </w:p>
    <w:p w:rsidR="00265AD1" w:rsidRPr="009C021F" w:rsidRDefault="00265AD1" w:rsidP="009C021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EF5215" w:rsidRPr="00DE62A4" w:rsidRDefault="00D14D75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 xml:space="preserve">În temeiul  art. 14 </w:t>
      </w:r>
      <w:r w:rsidR="00265AD1">
        <w:rPr>
          <w:rFonts w:ascii="Times New Roman" w:eastAsia="Calibri" w:hAnsi="Times New Roman" w:cs="Times New Roman"/>
          <w:lang w:val="ro-RO"/>
        </w:rPr>
        <w:t>ali</w:t>
      </w:r>
      <w:r w:rsidR="00184E7A">
        <w:rPr>
          <w:rFonts w:ascii="Times New Roman" w:eastAsia="Calibri" w:hAnsi="Times New Roman" w:cs="Times New Roman"/>
          <w:lang w:val="ro-RO"/>
        </w:rPr>
        <w:t>n</w:t>
      </w:r>
      <w:r w:rsidR="00265AD1">
        <w:rPr>
          <w:rFonts w:ascii="Times New Roman" w:eastAsia="Calibri" w:hAnsi="Times New Roman" w:cs="Times New Roman"/>
          <w:lang w:val="ro-RO"/>
        </w:rPr>
        <w:t xml:space="preserve">. (2) lit. n) </w:t>
      </w:r>
      <w:r w:rsidR="00EF5215" w:rsidRPr="00DE62A4">
        <w:rPr>
          <w:rFonts w:ascii="Times New Roman" w:eastAsia="Calibri" w:hAnsi="Times New Roman" w:cs="Times New Roman"/>
          <w:lang w:val="ro-RO"/>
        </w:rPr>
        <w:t>din Legea nr. 436</w:t>
      </w:r>
      <w:r w:rsidR="00265AD1">
        <w:rPr>
          <w:rFonts w:ascii="Times New Roman" w:eastAsia="Calibri" w:hAnsi="Times New Roman" w:cs="Times New Roman"/>
          <w:lang w:val="ro-RO"/>
        </w:rPr>
        <w:t>/</w:t>
      </w:r>
      <w:r w:rsidR="00EF5215" w:rsidRPr="00DE62A4">
        <w:rPr>
          <w:rFonts w:ascii="Times New Roman" w:eastAsia="Calibri" w:hAnsi="Times New Roman" w:cs="Times New Roman"/>
          <w:lang w:val="ro-RO"/>
        </w:rPr>
        <w:t>2006 privind administrația publică locală și art. 2</w:t>
      </w:r>
      <w:r w:rsidR="00265AD1">
        <w:rPr>
          <w:rFonts w:ascii="Times New Roman" w:eastAsia="Calibri" w:hAnsi="Times New Roman" w:cs="Times New Roman"/>
          <w:lang w:val="ro-RO"/>
        </w:rPr>
        <w:t>1</w:t>
      </w:r>
      <w:r w:rsidR="00EF5215" w:rsidRPr="00DE62A4">
        <w:rPr>
          <w:rFonts w:ascii="Times New Roman" w:eastAsia="Calibri" w:hAnsi="Times New Roman" w:cs="Times New Roman"/>
          <w:lang w:val="ro-RO"/>
        </w:rPr>
        <w:t>, alin. (</w:t>
      </w:r>
      <w:r w:rsidR="00265AD1">
        <w:rPr>
          <w:rFonts w:ascii="Times New Roman" w:eastAsia="Calibri" w:hAnsi="Times New Roman" w:cs="Times New Roman"/>
          <w:lang w:val="ro-RO"/>
        </w:rPr>
        <w:t>4</w:t>
      </w:r>
      <w:r w:rsidR="00EF5215" w:rsidRPr="00DE62A4">
        <w:rPr>
          <w:rFonts w:ascii="Times New Roman" w:eastAsia="Calibri" w:hAnsi="Times New Roman" w:cs="Times New Roman"/>
          <w:lang w:val="ro-RO"/>
        </w:rPr>
        <w:t xml:space="preserve">) </w:t>
      </w:r>
      <w:r w:rsidR="00265AD1">
        <w:rPr>
          <w:rFonts w:ascii="Times New Roman" w:eastAsia="Calibri" w:hAnsi="Times New Roman" w:cs="Times New Roman"/>
          <w:lang w:val="ro-RO"/>
        </w:rPr>
        <w:t xml:space="preserve">lit. b) </w:t>
      </w:r>
      <w:r w:rsidR="00EF5215" w:rsidRPr="00DE62A4">
        <w:rPr>
          <w:rFonts w:ascii="Times New Roman" w:eastAsia="Calibri" w:hAnsi="Times New Roman" w:cs="Times New Roman"/>
          <w:lang w:val="ro-RO"/>
        </w:rPr>
        <w:t>din Legea nr. 397</w:t>
      </w:r>
      <w:r w:rsidR="00265AD1">
        <w:rPr>
          <w:rFonts w:ascii="Times New Roman" w:eastAsia="Calibri" w:hAnsi="Times New Roman" w:cs="Times New Roman"/>
          <w:lang w:val="ro-RO"/>
        </w:rPr>
        <w:t>/</w:t>
      </w:r>
      <w:r w:rsidR="00EF5215" w:rsidRPr="00DE62A4">
        <w:rPr>
          <w:rFonts w:ascii="Times New Roman" w:eastAsia="Calibri" w:hAnsi="Times New Roman" w:cs="Times New Roman"/>
          <w:lang w:val="ro-RO"/>
        </w:rPr>
        <w:t xml:space="preserve">2003 privind finanțele publice locale, </w:t>
      </w:r>
      <w:r w:rsidRPr="00DE62A4">
        <w:rPr>
          <w:rFonts w:ascii="Times New Roman" w:eastAsia="Calibri" w:hAnsi="Times New Roman" w:cs="Times New Roman"/>
          <w:lang w:val="ro-RO"/>
        </w:rPr>
        <w:t xml:space="preserve">Consiliul </w:t>
      </w:r>
      <w:r w:rsidR="00A87A88">
        <w:rPr>
          <w:rFonts w:ascii="Times New Roman" w:eastAsia="Calibri" w:hAnsi="Times New Roman" w:cs="Times New Roman"/>
          <w:lang w:val="ro-RO"/>
        </w:rPr>
        <w:t xml:space="preserve">comunal </w:t>
      </w:r>
      <w:r w:rsidRPr="00DE62A4">
        <w:rPr>
          <w:rFonts w:ascii="Times New Roman" w:eastAsia="Calibri" w:hAnsi="Times New Roman" w:cs="Times New Roman"/>
          <w:lang w:val="ro-RO"/>
        </w:rPr>
        <w:t xml:space="preserve"> Hîrtopul Mare,</w:t>
      </w:r>
    </w:p>
    <w:p w:rsidR="00D14D75" w:rsidRPr="00DE62A4" w:rsidRDefault="00D14D75" w:rsidP="00D14D7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DE62A4">
        <w:rPr>
          <w:rFonts w:ascii="Times New Roman" w:eastAsia="Calibri" w:hAnsi="Times New Roman" w:cs="Times New Roman"/>
          <w:b/>
          <w:lang w:val="ro-RO"/>
        </w:rPr>
        <w:t>DECIDE:</w:t>
      </w:r>
    </w:p>
    <w:p w:rsidR="00EF5215" w:rsidRPr="00DE62A4" w:rsidRDefault="00EF5215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1. Se aprobă bugetul local pentru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EE6B64" w:rsidRPr="00DE62A4">
        <w:rPr>
          <w:rFonts w:ascii="Times New Roman" w:eastAsia="Calibri" w:hAnsi="Times New Roman" w:cs="Times New Roman"/>
          <w:lang w:val="ro-RO"/>
        </w:rPr>
        <w:t>,</w:t>
      </w:r>
      <w:r w:rsidRPr="00DE62A4">
        <w:rPr>
          <w:rFonts w:ascii="Times New Roman" w:eastAsia="Calibri" w:hAnsi="Times New Roman" w:cs="Times New Roman"/>
          <w:lang w:val="ro-RO"/>
        </w:rPr>
        <w:t xml:space="preserve"> la VENITURI în sumă de – </w:t>
      </w:r>
      <w:r w:rsidR="00BE7933">
        <w:rPr>
          <w:rFonts w:ascii="Times New Roman" w:hAnsi="Times New Roman"/>
          <w:b/>
          <w:sz w:val="24"/>
          <w:szCs w:val="24"/>
          <w:lang w:val="ro-RO"/>
        </w:rPr>
        <w:t>14447,8</w:t>
      </w:r>
      <w:r w:rsidR="001869A9">
        <w:rPr>
          <w:rFonts w:ascii="Times New Roman" w:hAnsi="Times New Roman"/>
          <w:b/>
          <w:sz w:val="24"/>
          <w:szCs w:val="24"/>
          <w:lang w:val="ro-RO"/>
        </w:rPr>
        <w:t xml:space="preserve"> mii lei</w:t>
      </w:r>
      <w:r w:rsidR="001869A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E62A4">
        <w:rPr>
          <w:rFonts w:ascii="Times New Roman" w:eastAsia="Calibri" w:hAnsi="Times New Roman" w:cs="Times New Roman"/>
          <w:lang w:val="ro-RO"/>
        </w:rPr>
        <w:t xml:space="preserve">și la CHELTUIELI în sumă totală de </w:t>
      </w:r>
      <w:r w:rsidR="00BE7933">
        <w:rPr>
          <w:rFonts w:ascii="Times New Roman" w:hAnsi="Times New Roman"/>
          <w:b/>
          <w:sz w:val="24"/>
          <w:szCs w:val="24"/>
          <w:lang w:val="ro-RO"/>
        </w:rPr>
        <w:t xml:space="preserve">14447,8 </w:t>
      </w:r>
      <w:r w:rsidR="001869A9">
        <w:rPr>
          <w:rFonts w:ascii="Times New Roman" w:hAnsi="Times New Roman"/>
          <w:b/>
          <w:sz w:val="24"/>
          <w:szCs w:val="24"/>
          <w:lang w:val="ro-RO"/>
        </w:rPr>
        <w:t xml:space="preserve"> mii lei</w:t>
      </w:r>
      <w:r w:rsidRPr="00DE62A4">
        <w:rPr>
          <w:rFonts w:ascii="Times New Roman" w:eastAsia="Calibri" w:hAnsi="Times New Roman" w:cs="Times New Roman"/>
          <w:lang w:val="ro-RO"/>
        </w:rPr>
        <w:t>.</w:t>
      </w:r>
    </w:p>
    <w:p w:rsidR="00EF5215" w:rsidRPr="00DE62A4" w:rsidRDefault="00EF5215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 xml:space="preserve">2. </w:t>
      </w:r>
      <w:r w:rsidR="006C0191" w:rsidRPr="00DE62A4">
        <w:rPr>
          <w:rFonts w:ascii="Times New Roman" w:eastAsia="Calibri" w:hAnsi="Times New Roman" w:cs="Times New Roman"/>
          <w:lang w:val="ro-RO"/>
        </w:rPr>
        <w:t>I</w:t>
      </w:r>
      <w:r w:rsidR="005701F7" w:rsidRPr="00DE62A4">
        <w:rPr>
          <w:rFonts w:ascii="Times New Roman" w:eastAsia="Calibri" w:hAnsi="Times New Roman" w:cs="Times New Roman"/>
          <w:lang w:val="ro-RO"/>
        </w:rPr>
        <w:t>ndicatori</w:t>
      </w:r>
      <w:r w:rsidR="006C0191" w:rsidRPr="00DE62A4">
        <w:rPr>
          <w:rFonts w:ascii="Times New Roman" w:eastAsia="Calibri" w:hAnsi="Times New Roman" w:cs="Times New Roman"/>
          <w:lang w:val="ro-RO"/>
        </w:rPr>
        <w:t>i</w:t>
      </w:r>
      <w:r w:rsidR="005701F7" w:rsidRPr="00DE62A4">
        <w:rPr>
          <w:rFonts w:ascii="Times New Roman" w:eastAsia="Calibri" w:hAnsi="Times New Roman" w:cs="Times New Roman"/>
          <w:lang w:val="ro-RO"/>
        </w:rPr>
        <w:t xml:space="preserve"> generali și sursele de finanțare ale bugetului local pentru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5701F7" w:rsidRPr="00DE62A4">
        <w:rPr>
          <w:rFonts w:ascii="Times New Roman" w:eastAsia="Calibri" w:hAnsi="Times New Roman" w:cs="Times New Roman"/>
          <w:lang w:val="ro-RO"/>
        </w:rPr>
        <w:t xml:space="preserve"> se prezintă în anexa nr. 1;</w:t>
      </w:r>
    </w:p>
    <w:p w:rsidR="005701F7" w:rsidRPr="00DE62A4" w:rsidRDefault="005701F7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3. Sinteza veniturilor bugetului local pe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Pr="00DE62A4">
        <w:rPr>
          <w:rFonts w:ascii="Times New Roman" w:eastAsia="Calibri" w:hAnsi="Times New Roman" w:cs="Times New Roman"/>
          <w:lang w:val="ro-RO"/>
        </w:rPr>
        <w:t xml:space="preserve"> se prezintă în anexa nr. 2;</w:t>
      </w:r>
    </w:p>
    <w:p w:rsidR="005701F7" w:rsidRPr="00DE62A4" w:rsidRDefault="006C0191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 xml:space="preserve">4. </w:t>
      </w:r>
      <w:r w:rsidR="005701F7" w:rsidRPr="00DE62A4">
        <w:rPr>
          <w:rFonts w:ascii="Times New Roman" w:eastAsia="Calibri" w:hAnsi="Times New Roman" w:cs="Times New Roman"/>
          <w:lang w:val="ro-RO"/>
        </w:rPr>
        <w:t>Resursele și cheltuielile bugetului local conform clasificației funcționale și pe programe pe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5701F7" w:rsidRPr="00DE62A4">
        <w:rPr>
          <w:rFonts w:ascii="Times New Roman" w:eastAsia="Calibri" w:hAnsi="Times New Roman" w:cs="Times New Roman"/>
          <w:lang w:val="ro-RO"/>
        </w:rPr>
        <w:t xml:space="preserve"> se prezintă în anexa nr. 3;</w:t>
      </w:r>
    </w:p>
    <w:p w:rsidR="005701F7" w:rsidRPr="00DE62A4" w:rsidRDefault="006C0191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5. Tipurile și cotele impozitelor și taxelor locale ce vor fi încasate la bugetul local în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BE7933">
        <w:rPr>
          <w:rFonts w:ascii="Times New Roman" w:eastAsia="Calibri" w:hAnsi="Times New Roman" w:cs="Times New Roman"/>
          <w:lang w:val="ro-RO"/>
        </w:rPr>
        <w:t xml:space="preserve"> </w:t>
      </w:r>
      <w:r w:rsidRPr="00DE62A4">
        <w:rPr>
          <w:rFonts w:ascii="Times New Roman" w:eastAsia="Calibri" w:hAnsi="Times New Roman" w:cs="Times New Roman"/>
          <w:lang w:val="ro-RO"/>
        </w:rPr>
        <w:t>se prezintă în anexa nr. 4;</w:t>
      </w:r>
    </w:p>
    <w:p w:rsidR="006C0191" w:rsidRPr="00DE62A4" w:rsidRDefault="006C0191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6. Sinteza veniturilor colectate de instituțiile bugetare finanțate din bugetul local în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9C021F">
        <w:rPr>
          <w:rFonts w:ascii="Times New Roman" w:eastAsia="Calibri" w:hAnsi="Times New Roman" w:cs="Times New Roman"/>
          <w:lang w:val="ro-RO"/>
        </w:rPr>
        <w:t xml:space="preserve"> </w:t>
      </w:r>
      <w:r w:rsidRPr="00DE62A4">
        <w:rPr>
          <w:rFonts w:ascii="Times New Roman" w:eastAsia="Calibri" w:hAnsi="Times New Roman" w:cs="Times New Roman"/>
          <w:lang w:val="ro-RO"/>
        </w:rPr>
        <w:t xml:space="preserve">se prezintă în anexa nr. 5; </w:t>
      </w:r>
    </w:p>
    <w:p w:rsidR="00EE6B64" w:rsidRPr="00DE62A4" w:rsidRDefault="00EE6B64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7. Se aprobă:</w:t>
      </w:r>
    </w:p>
    <w:p w:rsidR="00EE6B64" w:rsidRPr="00DE62A4" w:rsidRDefault="00EE6B64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7.1. Efectivul-limită al statelor de personal din instituțiile publice finanțate de la bugetul local pe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1910A6" w:rsidRPr="00DE62A4">
        <w:rPr>
          <w:rFonts w:ascii="Times New Roman" w:eastAsia="Calibri" w:hAnsi="Times New Roman" w:cs="Times New Roman"/>
          <w:lang w:val="ro-RO"/>
        </w:rPr>
        <w:t xml:space="preserve"> conform anexei nr. 6</w:t>
      </w:r>
      <w:r w:rsidRPr="00DE62A4">
        <w:rPr>
          <w:rFonts w:ascii="Times New Roman" w:eastAsia="Calibri" w:hAnsi="Times New Roman" w:cs="Times New Roman"/>
          <w:lang w:val="ro-RO"/>
        </w:rPr>
        <w:t>;</w:t>
      </w:r>
    </w:p>
    <w:p w:rsidR="005701F7" w:rsidRPr="00DE62A4" w:rsidRDefault="001910A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 xml:space="preserve">8. </w:t>
      </w:r>
      <w:r w:rsidR="005701F7" w:rsidRPr="00DE62A4">
        <w:rPr>
          <w:rFonts w:ascii="Times New Roman" w:eastAsia="Calibri" w:hAnsi="Times New Roman" w:cs="Times New Roman"/>
          <w:lang w:val="ro-RO"/>
        </w:rPr>
        <w:t>Se stabilește ca prioritate finanțarea cheltuielilor pentru remunerarea muncii, c</w:t>
      </w:r>
      <w:r w:rsidR="007F0159" w:rsidRPr="00DE62A4">
        <w:rPr>
          <w:rFonts w:ascii="Times New Roman" w:eastAsia="Calibri" w:hAnsi="Times New Roman" w:cs="Times New Roman"/>
          <w:lang w:val="ro-RO"/>
        </w:rPr>
        <w:t>ontribuțiile de asigurări sociale de stat, primele de asigurări medicale, alimentare, resursele energetice, servicii informaționale și de telecomunicație.</w:t>
      </w:r>
    </w:p>
    <w:p w:rsidR="00EE6B64" w:rsidRPr="00DE62A4" w:rsidRDefault="00EE6B64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</w:r>
      <w:r w:rsidR="001910A6" w:rsidRPr="00DE62A4">
        <w:rPr>
          <w:rFonts w:ascii="Times New Roman" w:eastAsia="Calibri" w:hAnsi="Times New Roman" w:cs="Times New Roman"/>
          <w:lang w:val="ro-RO"/>
        </w:rPr>
        <w:t xml:space="preserve">9. </w:t>
      </w:r>
      <w:r w:rsidRPr="00DE62A4">
        <w:rPr>
          <w:rFonts w:ascii="Times New Roman" w:eastAsia="Calibri" w:hAnsi="Times New Roman" w:cs="Times New Roman"/>
          <w:lang w:val="ro-RO"/>
        </w:rPr>
        <w:t>Datoriile creditoare, înregistrate la 01.01.20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265AD1">
        <w:rPr>
          <w:rFonts w:ascii="Times New Roman" w:eastAsia="Calibri" w:hAnsi="Times New Roman" w:cs="Times New Roman"/>
          <w:lang w:val="ro-RO"/>
        </w:rPr>
        <w:t xml:space="preserve"> </w:t>
      </w:r>
      <w:r w:rsidRPr="00DE62A4">
        <w:rPr>
          <w:rFonts w:ascii="Times New Roman" w:eastAsia="Calibri" w:hAnsi="Times New Roman" w:cs="Times New Roman"/>
          <w:lang w:val="ro-RO"/>
        </w:rPr>
        <w:t>de către instituțiile bugetare vor fi achitate</w:t>
      </w:r>
      <w:r w:rsidR="00E73294" w:rsidRPr="00DE62A4">
        <w:rPr>
          <w:rFonts w:ascii="Times New Roman" w:eastAsia="Calibri" w:hAnsi="Times New Roman" w:cs="Times New Roman"/>
          <w:lang w:val="ro-RO"/>
        </w:rPr>
        <w:t xml:space="preserve"> din contul și în limita alocațiilor aprobate pe anul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FA1EF3">
        <w:rPr>
          <w:rFonts w:ascii="Times New Roman" w:eastAsia="Calibri" w:hAnsi="Times New Roman" w:cs="Times New Roman"/>
          <w:lang w:val="ro-RO"/>
        </w:rPr>
        <w:t>2</w:t>
      </w:r>
      <w:r w:rsidR="00E73294" w:rsidRPr="00DE62A4">
        <w:rPr>
          <w:rFonts w:ascii="Times New Roman" w:eastAsia="Calibri" w:hAnsi="Times New Roman" w:cs="Times New Roman"/>
          <w:lang w:val="ro-RO"/>
        </w:rPr>
        <w:t>;</w:t>
      </w:r>
    </w:p>
    <w:p w:rsidR="001910A6" w:rsidRPr="00DE62A4" w:rsidRDefault="001910A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10. Executorii de buget vor asigura:</w:t>
      </w:r>
    </w:p>
    <w:p w:rsidR="004D3916" w:rsidRPr="00DE62A4" w:rsidRDefault="004D391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10.1.dezagregarea în termen a limitelor stabilite, cu introducerea acestora în Sistemul informațional de managment financiar;</w:t>
      </w:r>
    </w:p>
    <w:p w:rsidR="004D3916" w:rsidRPr="00DE62A4" w:rsidRDefault="004D391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10.2. legalitatea utilizării alocațiilor bugetare și respectarea limitelor aprobate;</w:t>
      </w:r>
    </w:p>
    <w:p w:rsidR="004D3916" w:rsidRPr="00DE62A4" w:rsidRDefault="004D391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10.3. utilizarea conform destinației a transferurilor cu destinație specială alocate de la Bugetul de Stat;</w:t>
      </w:r>
    </w:p>
    <w:p w:rsidR="004D3916" w:rsidRPr="00DE62A4" w:rsidRDefault="009C021F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ab/>
      </w:r>
      <w:r w:rsidR="004D3916" w:rsidRPr="00DE62A4">
        <w:rPr>
          <w:rFonts w:ascii="Times New Roman" w:eastAsia="Calibri" w:hAnsi="Times New Roman" w:cs="Times New Roman"/>
          <w:lang w:val="ro-RO"/>
        </w:rPr>
        <w:t>10.4. raportarea în termenii stabiliți a performanțelor realizate pe programe și subprograme conform competenței.</w:t>
      </w:r>
    </w:p>
    <w:p w:rsidR="001910A6" w:rsidRPr="00DE62A4" w:rsidRDefault="001910A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11. Se autorizează:</w:t>
      </w:r>
    </w:p>
    <w:p w:rsidR="001910A6" w:rsidRPr="00DE62A4" w:rsidRDefault="001910A6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11.1. Primarul comunei Hîrtopul Mare, cu rol de ordonator principal de buget</w:t>
      </w:r>
      <w:r w:rsidR="004D3916" w:rsidRPr="00DE62A4">
        <w:rPr>
          <w:rFonts w:ascii="Times New Roman" w:eastAsia="Calibri" w:hAnsi="Times New Roman" w:cs="Times New Roman"/>
          <w:lang w:val="ro-RO"/>
        </w:rPr>
        <w:t>,</w:t>
      </w:r>
      <w:r w:rsidRPr="00DE62A4">
        <w:rPr>
          <w:rFonts w:ascii="Times New Roman" w:eastAsia="Calibri" w:hAnsi="Times New Roman" w:cs="Times New Roman"/>
          <w:lang w:val="ro-RO"/>
        </w:rPr>
        <w:t xml:space="preserve"> de comun acord cu conducătorii de instituții să efectuieze, în caz de necesitate, modificări în devizele de cheltuieli aprobate pentru instituțiile subordonate, în limita alocațiilor lunare prevăzute în buget</w:t>
      </w:r>
      <w:r w:rsidR="00780C05">
        <w:rPr>
          <w:rFonts w:ascii="Times New Roman" w:eastAsia="Calibri" w:hAnsi="Times New Roman" w:cs="Times New Roman"/>
          <w:lang w:val="ro-RO"/>
        </w:rPr>
        <w:t xml:space="preserve"> </w:t>
      </w:r>
      <w:r w:rsidR="004D3916" w:rsidRPr="00DE62A4">
        <w:rPr>
          <w:rFonts w:ascii="Times New Roman" w:eastAsia="Calibri" w:hAnsi="Times New Roman" w:cs="Times New Roman"/>
          <w:lang w:val="ro-RO"/>
        </w:rPr>
        <w:t>între diferite nivele ale clasificației economice(tip, categorie)</w:t>
      </w:r>
      <w:r w:rsidR="00DE62A4" w:rsidRPr="00DE62A4">
        <w:rPr>
          <w:rFonts w:ascii="Times New Roman" w:eastAsia="Calibri" w:hAnsi="Times New Roman" w:cs="Times New Roman"/>
          <w:lang w:val="ro-RO"/>
        </w:rPr>
        <w:t xml:space="preserve"> în cadrul aceleași funcții și a unui subprogram, fără majorarea cheltuielilor de personal și fără modificarea cheltuielilor pentru investiții;</w:t>
      </w:r>
    </w:p>
    <w:p w:rsidR="00DE62A4" w:rsidRPr="00DE62A4" w:rsidRDefault="00DE62A4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12. Responsabil pentru executarea prezentei decizii se desemnează Primarul comunei;</w:t>
      </w:r>
    </w:p>
    <w:p w:rsidR="00DE62A4" w:rsidRPr="00DE62A4" w:rsidRDefault="00DE62A4" w:rsidP="00EF5215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DE62A4">
        <w:rPr>
          <w:rFonts w:ascii="Times New Roman" w:eastAsia="Calibri" w:hAnsi="Times New Roman" w:cs="Times New Roman"/>
          <w:lang w:val="ro-RO"/>
        </w:rPr>
        <w:tab/>
        <w:t>13. Prezenta decizie intră în vigoare de la 01 ianuarie 20</w:t>
      </w:r>
      <w:r w:rsidR="009C021F">
        <w:rPr>
          <w:rFonts w:ascii="Times New Roman" w:eastAsia="Calibri" w:hAnsi="Times New Roman" w:cs="Times New Roman"/>
          <w:lang w:val="ro-RO"/>
        </w:rPr>
        <w:t>2</w:t>
      </w:r>
      <w:r w:rsidR="00BE7933">
        <w:rPr>
          <w:rFonts w:ascii="Times New Roman" w:eastAsia="Calibri" w:hAnsi="Times New Roman" w:cs="Times New Roman"/>
          <w:lang w:val="ro-RO"/>
        </w:rPr>
        <w:t>2</w:t>
      </w:r>
      <w:r w:rsidRPr="00DE62A4">
        <w:rPr>
          <w:rFonts w:ascii="Times New Roman" w:eastAsia="Calibri" w:hAnsi="Times New Roman" w:cs="Times New Roman"/>
          <w:lang w:val="ro-RO"/>
        </w:rPr>
        <w:t>.</w:t>
      </w:r>
    </w:p>
    <w:p w:rsidR="00EF5215" w:rsidRPr="00DE62A4" w:rsidRDefault="00EF5215" w:rsidP="00F5543F">
      <w:pPr>
        <w:spacing w:after="0" w:line="240" w:lineRule="auto"/>
        <w:jc w:val="both"/>
        <w:rPr>
          <w:lang w:val="en-US"/>
        </w:rPr>
      </w:pPr>
      <w:r w:rsidRPr="00DE62A4">
        <w:rPr>
          <w:rFonts w:ascii="Times New Roman" w:eastAsia="Calibri" w:hAnsi="Times New Roman" w:cs="Times New Roman"/>
          <w:b/>
          <w:lang w:val="ro-RO"/>
        </w:rPr>
        <w:tab/>
      </w:r>
    </w:p>
    <w:p w:rsidR="00FA1EF3" w:rsidRPr="00FA1EF3" w:rsidRDefault="00FA1EF3" w:rsidP="00FA1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A1EF3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FA1EF3" w:rsidRPr="00FA1EF3" w:rsidRDefault="00FA1EF3" w:rsidP="00FA1EF3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A1EF3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p w:rsidR="00EF5215" w:rsidRDefault="00EF5215" w:rsidP="00FA1EF3">
      <w:pPr>
        <w:spacing w:after="0" w:line="240" w:lineRule="auto"/>
        <w:jc w:val="both"/>
        <w:rPr>
          <w:lang w:val="ro-RO"/>
        </w:rPr>
      </w:pPr>
    </w:p>
    <w:p w:rsidR="005E17A9" w:rsidRPr="005E17A9" w:rsidRDefault="005E17A9" w:rsidP="005E17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5E17A9" w:rsidRPr="005E17A9" w:rsidRDefault="005E17A9" w:rsidP="005E17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 6/</w:t>
      </w: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5 ,,</w:t>
      </w: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aprobarea bugetului comunei Hîrtopul Mare pentru anul 2022 în lectura a doua”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5E1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Birda Svetlana, contabil-șef, Primaria comunei Hîrtopul Mare.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Legii nr. 397/2003 privind finanțele publice locale art. 21 alin. (4) lit. a),  în temeiul Legii nr. 436/2006 privind administrația publică locală art. 14, în scopul </w:t>
      </w:r>
      <w:r w:rsidRPr="005E17A9">
        <w:rPr>
          <w:rFonts w:ascii="Georgia" w:eastAsia="Calibri" w:hAnsi="Georgia" w:cs="Times New Roman"/>
          <w:color w:val="333333"/>
          <w:sz w:val="28"/>
          <w:szCs w:val="28"/>
          <w:shd w:val="clear" w:color="auto" w:fill="FFFFFF"/>
          <w:lang w:val="ro-RO"/>
        </w:rPr>
        <w:t xml:space="preserve">  aprobării bugetului comunei Hîrtopul Mare </w:t>
      </w:r>
      <w:r w:rsidRPr="005E17A9">
        <w:rPr>
          <w:rFonts w:ascii="Times New Roman" w:eastAsia="Calibri" w:hAnsi="Times New Roman" w:cs="Times New Roman"/>
          <w:sz w:val="28"/>
          <w:szCs w:val="28"/>
          <w:lang w:val="ro-RO"/>
        </w:rPr>
        <w:t>pentru anul 2022.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3.Principalele prevederi ale proiectului și evedențierea elementelor noi. 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Proiectul prevede aprobarea </w:t>
      </w:r>
      <w:r w:rsidRPr="005E17A9">
        <w:rPr>
          <w:rFonts w:ascii="Times New Roman" w:eastAsia="Calibri" w:hAnsi="Times New Roman" w:cs="Times New Roman"/>
          <w:sz w:val="28"/>
          <w:szCs w:val="28"/>
          <w:lang w:val="ro-RO"/>
        </w:rPr>
        <w:t>bugetului comunei Hîrtopul Mare pentru anul 2022 în a doua lectură, inclusiv prezentat desfășurat în 6 (șase) anexe, care fac parte integrantă a proiectului.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scopul respectării prevederilor Legii 239/2008 privind transparența în procesul decizional proiectul dat a fost plasat pe panoul informativ din incinta primăriei Hîrtopul Mare, publicat pe pagina Web a primăriei Hîrtopul Mare și consultat public la data de __.12.2021.</w:t>
      </w:r>
    </w:p>
    <w:p w:rsidR="005E17A9" w:rsidRPr="005E17A9" w:rsidRDefault="005E17A9" w:rsidP="005E17A9">
      <w:pPr>
        <w:spacing w:after="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7.Constatările expertizei juridice.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 w:rsidRPr="005E17A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E17A9" w:rsidRPr="005E17A9" w:rsidRDefault="005E17A9" w:rsidP="005E17A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E17A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se prezintă comisiei de specialitate pentru avizare și se propune consiliului local pentru examinare și adoptare.</w:t>
      </w:r>
    </w:p>
    <w:p w:rsidR="005E17A9" w:rsidRPr="005E17A9" w:rsidRDefault="005E17A9" w:rsidP="005E17A9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</w:p>
    <w:p w:rsidR="005E17A9" w:rsidRPr="005E17A9" w:rsidRDefault="005E17A9" w:rsidP="005E17A9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</w:r>
      <w:bookmarkStart w:id="0" w:name="_GoBack"/>
      <w:bookmarkEnd w:id="0"/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Contabil-șef</w:t>
      </w: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5E17A9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ab/>
        <w:t>Birda Svetlana</w:t>
      </w:r>
    </w:p>
    <w:p w:rsidR="005E17A9" w:rsidRPr="00FA1EF3" w:rsidRDefault="005E17A9" w:rsidP="00FA1EF3">
      <w:pPr>
        <w:spacing w:after="0" w:line="240" w:lineRule="auto"/>
        <w:jc w:val="both"/>
        <w:rPr>
          <w:lang w:val="ro-RO"/>
        </w:rPr>
      </w:pPr>
    </w:p>
    <w:sectPr w:rsidR="005E17A9" w:rsidRPr="00FA1EF3" w:rsidSect="000C40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D7" w:rsidRDefault="00C64BD7" w:rsidP="000C4033">
      <w:pPr>
        <w:spacing w:after="0" w:line="240" w:lineRule="auto"/>
      </w:pPr>
      <w:r>
        <w:separator/>
      </w:r>
    </w:p>
  </w:endnote>
  <w:endnote w:type="continuationSeparator" w:id="0">
    <w:p w:rsidR="00C64BD7" w:rsidRDefault="00C64BD7" w:rsidP="000C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D7" w:rsidRDefault="00C64BD7" w:rsidP="000C4033">
      <w:pPr>
        <w:spacing w:after="0" w:line="240" w:lineRule="auto"/>
      </w:pPr>
      <w:r>
        <w:separator/>
      </w:r>
    </w:p>
  </w:footnote>
  <w:footnote w:type="continuationSeparator" w:id="0">
    <w:p w:rsidR="00C64BD7" w:rsidRDefault="00C64BD7" w:rsidP="000C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FE"/>
    <w:rsid w:val="00033C82"/>
    <w:rsid w:val="00037B26"/>
    <w:rsid w:val="00043CBA"/>
    <w:rsid w:val="00072A49"/>
    <w:rsid w:val="000C4033"/>
    <w:rsid w:val="0015539F"/>
    <w:rsid w:val="00184E7A"/>
    <w:rsid w:val="001869A9"/>
    <w:rsid w:val="001910A6"/>
    <w:rsid w:val="001F62F6"/>
    <w:rsid w:val="001F75D4"/>
    <w:rsid w:val="00234A32"/>
    <w:rsid w:val="00265AD1"/>
    <w:rsid w:val="00322A9F"/>
    <w:rsid w:val="003E2EE1"/>
    <w:rsid w:val="004647B4"/>
    <w:rsid w:val="004C1A75"/>
    <w:rsid w:val="004D3916"/>
    <w:rsid w:val="005204F1"/>
    <w:rsid w:val="005701F7"/>
    <w:rsid w:val="005E17A9"/>
    <w:rsid w:val="006C0191"/>
    <w:rsid w:val="0073482B"/>
    <w:rsid w:val="00780C05"/>
    <w:rsid w:val="007B5AF7"/>
    <w:rsid w:val="007F0159"/>
    <w:rsid w:val="00850362"/>
    <w:rsid w:val="0090658D"/>
    <w:rsid w:val="00967B98"/>
    <w:rsid w:val="009C021F"/>
    <w:rsid w:val="00A35167"/>
    <w:rsid w:val="00A87A88"/>
    <w:rsid w:val="00AF5EC3"/>
    <w:rsid w:val="00B82CF0"/>
    <w:rsid w:val="00BE7933"/>
    <w:rsid w:val="00C0371E"/>
    <w:rsid w:val="00C10F8E"/>
    <w:rsid w:val="00C62EA4"/>
    <w:rsid w:val="00C64BD7"/>
    <w:rsid w:val="00C86AFE"/>
    <w:rsid w:val="00D14D75"/>
    <w:rsid w:val="00D74F41"/>
    <w:rsid w:val="00DE62A4"/>
    <w:rsid w:val="00E73294"/>
    <w:rsid w:val="00EE6B64"/>
    <w:rsid w:val="00EF5215"/>
    <w:rsid w:val="00F451BC"/>
    <w:rsid w:val="00F5543F"/>
    <w:rsid w:val="00F92517"/>
    <w:rsid w:val="00F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52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F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2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033"/>
  </w:style>
  <w:style w:type="paragraph" w:styleId="a8">
    <w:name w:val="footer"/>
    <w:basedOn w:val="a"/>
    <w:link w:val="a9"/>
    <w:uiPriority w:val="99"/>
    <w:unhideWhenUsed/>
    <w:rsid w:val="000C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52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F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2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033"/>
  </w:style>
  <w:style w:type="paragraph" w:styleId="a8">
    <w:name w:val="footer"/>
    <w:basedOn w:val="a"/>
    <w:link w:val="a9"/>
    <w:uiPriority w:val="99"/>
    <w:unhideWhenUsed/>
    <w:rsid w:val="000C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C2C1-F1E0-4894-99EE-429EB04F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35</cp:revision>
  <cp:lastPrinted>2020-12-09T10:07:00Z</cp:lastPrinted>
  <dcterms:created xsi:type="dcterms:W3CDTF">2017-12-14T12:30:00Z</dcterms:created>
  <dcterms:modified xsi:type="dcterms:W3CDTF">2021-12-01T12:24:00Z</dcterms:modified>
</cp:coreProperties>
</file>